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6D6672" w:rsidP="00CF1133">
      <w:pPr>
        <w:ind w:left="-710" w:firstLine="695"/>
        <w:rPr>
          <w:b/>
          <w:bCs/>
        </w:rPr>
      </w:pPr>
      <w:bookmarkStart w:id="0" w:name="_GoBack"/>
      <w:bookmarkEnd w:id="0"/>
      <w:r>
        <w:rPr>
          <w:b/>
          <w:bCs/>
        </w:rPr>
        <w:t>LEP – Sub Committee</w:t>
      </w:r>
    </w:p>
    <w:p w:rsidR="00BE3AA8" w:rsidRDefault="00626D7B" w:rsidP="00CF1133">
      <w:pPr>
        <w:ind w:left="-710" w:firstLine="695"/>
        <w:rPr>
          <w:b/>
          <w:bCs/>
        </w:rPr>
      </w:pPr>
    </w:p>
    <w:p w:rsidR="00BE3AA8" w:rsidRDefault="006D6672"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Growth Deal Management Board</w:t>
      </w:r>
      <w:r>
        <w:rPr>
          <w:rFonts w:eastAsia="Times New Roman" w:cs="Times New Roman"/>
          <w:b/>
          <w:color w:val="auto"/>
          <w:szCs w:val="20"/>
        </w:rPr>
        <w:fldChar w:fldCharType="end"/>
      </w:r>
    </w:p>
    <w:p w:rsidR="00CF1133" w:rsidRPr="00BC4466" w:rsidRDefault="00626D7B" w:rsidP="00CF1133">
      <w:pPr>
        <w:spacing w:after="0" w:line="256" w:lineRule="auto"/>
        <w:ind w:left="0" w:firstLine="0"/>
        <w:rPr>
          <w:b/>
          <w:bCs/>
        </w:rPr>
      </w:pPr>
    </w:p>
    <w:p w:rsidR="00BC4466" w:rsidRDefault="006D6672" w:rsidP="00CF1133">
      <w:pPr>
        <w:spacing w:after="0" w:line="256" w:lineRule="auto"/>
        <w:ind w:left="0" w:firstLine="0"/>
        <w:rPr>
          <w:b/>
        </w:rPr>
      </w:pPr>
      <w:r w:rsidRPr="00BC4466">
        <w:rPr>
          <w:b/>
        </w:rPr>
        <w:t xml:space="preserve">Private and Confidential: </w:t>
      </w:r>
      <w:r>
        <w:rPr>
          <w:b/>
        </w:rPr>
        <w:t>No</w:t>
      </w:r>
    </w:p>
    <w:p w:rsidR="006D6672" w:rsidRDefault="006D6672" w:rsidP="00CF1133">
      <w:pPr>
        <w:spacing w:after="0" w:line="256" w:lineRule="auto"/>
        <w:ind w:left="0" w:firstLine="0"/>
      </w:pPr>
    </w:p>
    <w:p w:rsidR="00A3358A" w:rsidRDefault="006D6672" w:rsidP="00A3358A">
      <w:r w:rsidRPr="00B959D4">
        <w:rPr>
          <w:b/>
        </w:rPr>
        <w:t>Date:</w:t>
      </w:r>
      <w:r>
        <w:t xml:space="preserve"> </w:t>
      </w:r>
      <w:r w:rsidR="00626D7B">
        <w:fldChar w:fldCharType="begin"/>
      </w:r>
      <w:r w:rsidR="00626D7B">
        <w:instrText xml:space="preserve"> DOCPROPERTY  MeetingDate  \* MERGEFORMAT </w:instrText>
      </w:r>
      <w:r w:rsidR="00626D7B">
        <w:fldChar w:fldCharType="separate"/>
      </w:r>
      <w:r>
        <w:t>Wednesday, 13 November 2019</w:t>
      </w:r>
      <w:r w:rsidR="00626D7B">
        <w:fldChar w:fldCharType="end"/>
      </w:r>
    </w:p>
    <w:p w:rsidR="00A3358A" w:rsidRDefault="00626D7B" w:rsidP="00A3358A"/>
    <w:p w:rsidR="00A3358A" w:rsidRDefault="006D6672"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Growth Deal Communications Update</w:t>
      </w:r>
      <w:r>
        <w:rPr>
          <w:b/>
        </w:rPr>
        <w:fldChar w:fldCharType="end"/>
      </w:r>
    </w:p>
    <w:p w:rsidR="00A3358A" w:rsidRPr="006D6672" w:rsidRDefault="006D6672" w:rsidP="006D6672">
      <w:pPr>
        <w:spacing w:line="240" w:lineRule="auto"/>
        <w:jc w:val="both"/>
        <w:rPr>
          <w:rFonts w:eastAsia="Times New Roman"/>
          <w:color w:val="auto"/>
        </w:rPr>
      </w:pPr>
      <w:r w:rsidRPr="00CC2DB8">
        <w:t>Appendices 'A' and 'B' refer</w:t>
      </w:r>
    </w:p>
    <w:p w:rsidR="00D7480F" w:rsidRDefault="00626D7B" w:rsidP="00CF1133">
      <w:pPr>
        <w:spacing w:after="0" w:line="256" w:lineRule="auto"/>
        <w:ind w:left="0" w:firstLine="0"/>
      </w:pPr>
    </w:p>
    <w:p w:rsidR="00CF1133" w:rsidRPr="002B3CC5" w:rsidRDefault="006D6672" w:rsidP="00626D7B">
      <w:pPr>
        <w:ind w:left="0" w:right="-873" w:firstLine="0"/>
        <w:rPr>
          <w:b/>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Martine Winder</w:t>
      </w:r>
      <w:r>
        <w:rPr>
          <w:b/>
        </w:rPr>
        <w:fldChar w:fldCharType="end"/>
      </w:r>
      <w:r w:rsidRPr="00F41096">
        <w:rPr>
          <w:b/>
        </w:rPr>
        <w:t>,</w:t>
      </w:r>
      <w:r w:rsidR="00626D7B">
        <w:rPr>
          <w:b/>
        </w:rPr>
        <w:t xml:space="preserve"> Economic Policy and Communications Manager</w:t>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538791</w:t>
      </w:r>
      <w:r>
        <w:rPr>
          <w:b/>
        </w:rPr>
        <w:fldChar w:fldCharType="end"/>
      </w:r>
      <w:r w:rsidR="00626D7B">
        <w:rPr>
          <w:b/>
        </w:rPr>
        <w:t xml:space="preserve">, </w:t>
      </w:r>
      <w:r>
        <w:rPr>
          <w:b/>
        </w:rPr>
        <w:fldChar w:fldCharType="begin"/>
      </w:r>
      <w:r>
        <w:rPr>
          <w:b/>
        </w:rPr>
        <w:instrText xml:space="preserve"> DOCPROPERTY  LeadOfficerEmail  \* MERGEFORMAT </w:instrText>
      </w:r>
      <w:r>
        <w:rPr>
          <w:b/>
        </w:rPr>
        <w:fldChar w:fldCharType="separate"/>
      </w:r>
      <w:r>
        <w:rPr>
          <w:b/>
        </w:rPr>
        <w:t>martine.winder@lancashire</w:t>
      </w:r>
      <w:r w:rsidR="009947EB">
        <w:rPr>
          <w:b/>
        </w:rPr>
        <w:t>lep.co</w:t>
      </w:r>
      <w:r>
        <w:rPr>
          <w:b/>
        </w:rPr>
        <w:t>.uk</w:t>
      </w:r>
      <w:r>
        <w:rPr>
          <w:b/>
        </w:rPr>
        <w:fldChar w:fldCharType="end"/>
      </w:r>
    </w:p>
    <w:p w:rsidR="002B3CC5" w:rsidRDefault="00626D7B"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14B25" w:rsidTr="008B5354">
        <w:tc>
          <w:tcPr>
            <w:tcW w:w="9180" w:type="dxa"/>
          </w:tcPr>
          <w:p w:rsidR="002B3CC5" w:rsidRDefault="00626D7B" w:rsidP="00841251">
            <w:pPr>
              <w:pStyle w:val="Header"/>
            </w:pPr>
          </w:p>
          <w:p w:rsidR="002B3CC5" w:rsidRPr="002B3CC5" w:rsidRDefault="006D6672" w:rsidP="00841251">
            <w:pPr>
              <w:pStyle w:val="Heading6"/>
              <w:rPr>
                <w:rFonts w:ascii="Arial" w:hAnsi="Arial"/>
                <w:b/>
                <w:color w:val="auto"/>
              </w:rPr>
            </w:pPr>
            <w:r w:rsidRPr="002B3CC5">
              <w:rPr>
                <w:rFonts w:ascii="Arial" w:hAnsi="Arial"/>
                <w:b/>
                <w:color w:val="auto"/>
              </w:rPr>
              <w:t>Executive Summary</w:t>
            </w:r>
          </w:p>
          <w:p w:rsidR="002B3CC5" w:rsidRPr="002B3CC5" w:rsidRDefault="00626D7B" w:rsidP="00841251">
            <w:pPr>
              <w:rPr>
                <w:color w:val="auto"/>
              </w:rPr>
            </w:pPr>
          </w:p>
          <w:p w:rsidR="006D6672" w:rsidRPr="00CC2DB8" w:rsidRDefault="006D6672" w:rsidP="006D6672">
            <w:pPr>
              <w:spacing w:after="0" w:line="240" w:lineRule="auto"/>
              <w:ind w:left="0" w:firstLine="0"/>
              <w:jc w:val="both"/>
              <w:rPr>
                <w:bCs/>
                <w:color w:val="auto"/>
              </w:rPr>
            </w:pPr>
            <w:r w:rsidRPr="00CC2DB8">
              <w:rPr>
                <w:bCs/>
                <w:color w:val="auto"/>
              </w:rPr>
              <w:t>The G</w:t>
            </w:r>
            <w:r w:rsidR="009947EB">
              <w:rPr>
                <w:bCs/>
                <w:color w:val="auto"/>
              </w:rPr>
              <w:t xml:space="preserve">rowth </w:t>
            </w:r>
            <w:r w:rsidRPr="00CC2DB8">
              <w:rPr>
                <w:bCs/>
                <w:color w:val="auto"/>
              </w:rPr>
              <w:t>D</w:t>
            </w:r>
            <w:r w:rsidR="009947EB">
              <w:rPr>
                <w:bCs/>
                <w:color w:val="auto"/>
              </w:rPr>
              <w:t xml:space="preserve">eal </w:t>
            </w:r>
            <w:r w:rsidRPr="00CC2DB8">
              <w:rPr>
                <w:bCs/>
                <w:color w:val="auto"/>
              </w:rPr>
              <w:t>M</w:t>
            </w:r>
            <w:r w:rsidR="009947EB">
              <w:rPr>
                <w:bCs/>
                <w:color w:val="auto"/>
              </w:rPr>
              <w:t xml:space="preserve">anagement </w:t>
            </w:r>
            <w:r w:rsidRPr="00CC2DB8">
              <w:rPr>
                <w:bCs/>
                <w:color w:val="auto"/>
              </w:rPr>
              <w:t>B</w:t>
            </w:r>
            <w:r w:rsidR="009947EB">
              <w:rPr>
                <w:bCs/>
                <w:color w:val="auto"/>
              </w:rPr>
              <w:t>oard</w:t>
            </w:r>
            <w:r w:rsidRPr="00CC2DB8">
              <w:rPr>
                <w:bCs/>
                <w:color w:val="auto"/>
              </w:rPr>
              <w:t xml:space="preserve"> is asked to receive the </w:t>
            </w:r>
            <w:r>
              <w:rPr>
                <w:bCs/>
                <w:color w:val="auto"/>
              </w:rPr>
              <w:t xml:space="preserve">Growth Deal </w:t>
            </w:r>
            <w:r w:rsidRPr="00CC2DB8">
              <w:rPr>
                <w:bCs/>
                <w:color w:val="auto"/>
              </w:rPr>
              <w:t>Communications Report</w:t>
            </w:r>
            <w:r>
              <w:rPr>
                <w:bCs/>
                <w:color w:val="auto"/>
              </w:rPr>
              <w:t xml:space="preserve"> covering the period December 2018 to August 2019. Communications, P</w:t>
            </w:r>
            <w:r w:rsidR="009947EB">
              <w:rPr>
                <w:bCs/>
                <w:color w:val="auto"/>
              </w:rPr>
              <w:t xml:space="preserve">ublic </w:t>
            </w:r>
            <w:r>
              <w:rPr>
                <w:bCs/>
                <w:color w:val="auto"/>
              </w:rPr>
              <w:t>R</w:t>
            </w:r>
            <w:r w:rsidR="009947EB">
              <w:rPr>
                <w:bCs/>
                <w:color w:val="auto"/>
              </w:rPr>
              <w:t>elations</w:t>
            </w:r>
            <w:r>
              <w:rPr>
                <w:bCs/>
                <w:color w:val="auto"/>
              </w:rPr>
              <w:t xml:space="preserve"> activity and media coverage relating to Lancashire's Growth Deal Programme can be found at </w:t>
            </w:r>
            <w:r w:rsidRPr="00CC2DB8">
              <w:rPr>
                <w:bCs/>
                <w:color w:val="auto"/>
              </w:rPr>
              <w:t>Appendices A and B to this report.</w:t>
            </w:r>
          </w:p>
          <w:p w:rsidR="006D6672" w:rsidRDefault="006D6672" w:rsidP="006D6672">
            <w:pPr>
              <w:spacing w:after="0" w:line="240" w:lineRule="auto"/>
              <w:ind w:left="0" w:firstLine="0"/>
              <w:jc w:val="both"/>
              <w:rPr>
                <w:b/>
                <w:bCs/>
                <w:color w:val="auto"/>
              </w:rPr>
            </w:pPr>
          </w:p>
          <w:p w:rsidR="006D6672" w:rsidRPr="00577981" w:rsidRDefault="006D6672" w:rsidP="006D6672">
            <w:pPr>
              <w:spacing w:after="0" w:line="240" w:lineRule="auto"/>
              <w:ind w:left="0" w:firstLine="0"/>
              <w:jc w:val="both"/>
              <w:rPr>
                <w:b/>
                <w:bCs/>
                <w:color w:val="auto"/>
              </w:rPr>
            </w:pPr>
            <w:r w:rsidRPr="00577981">
              <w:rPr>
                <w:b/>
                <w:bCs/>
                <w:color w:val="auto"/>
              </w:rPr>
              <w:t>Recommendation</w:t>
            </w:r>
          </w:p>
          <w:p w:rsidR="006D6672" w:rsidRDefault="006D6672" w:rsidP="006D6672">
            <w:pPr>
              <w:spacing w:after="0" w:line="240" w:lineRule="auto"/>
              <w:ind w:left="0" w:firstLine="0"/>
              <w:jc w:val="both"/>
              <w:rPr>
                <w:b/>
                <w:bCs/>
                <w:color w:val="auto"/>
              </w:rPr>
            </w:pPr>
          </w:p>
          <w:p w:rsidR="006D6672" w:rsidRPr="00B17A63" w:rsidRDefault="006D6672" w:rsidP="00626D7B">
            <w:pPr>
              <w:spacing w:after="0" w:line="240" w:lineRule="auto"/>
              <w:ind w:left="0" w:firstLine="0"/>
              <w:jc w:val="both"/>
              <w:rPr>
                <w:b/>
                <w:bCs/>
                <w:color w:val="auto"/>
              </w:rPr>
            </w:pPr>
            <w:r w:rsidRPr="00DF771C">
              <w:rPr>
                <w:bCs/>
                <w:color w:val="auto"/>
              </w:rPr>
              <w:t>The G</w:t>
            </w:r>
            <w:r w:rsidR="009947EB">
              <w:rPr>
                <w:bCs/>
                <w:color w:val="auto"/>
              </w:rPr>
              <w:t xml:space="preserve">rowth </w:t>
            </w:r>
            <w:r w:rsidRPr="00DF771C">
              <w:rPr>
                <w:bCs/>
                <w:color w:val="auto"/>
              </w:rPr>
              <w:t>D</w:t>
            </w:r>
            <w:r w:rsidR="009947EB">
              <w:rPr>
                <w:bCs/>
                <w:color w:val="auto"/>
              </w:rPr>
              <w:t xml:space="preserve">eal </w:t>
            </w:r>
            <w:r w:rsidRPr="00DF771C">
              <w:rPr>
                <w:bCs/>
                <w:color w:val="auto"/>
              </w:rPr>
              <w:t>M</w:t>
            </w:r>
            <w:r w:rsidR="009947EB">
              <w:rPr>
                <w:bCs/>
                <w:color w:val="auto"/>
              </w:rPr>
              <w:t xml:space="preserve">anagement </w:t>
            </w:r>
            <w:r w:rsidRPr="00DF771C">
              <w:rPr>
                <w:bCs/>
                <w:color w:val="auto"/>
              </w:rPr>
              <w:t>B</w:t>
            </w:r>
            <w:r w:rsidR="009947EB">
              <w:rPr>
                <w:bCs/>
                <w:color w:val="auto"/>
              </w:rPr>
              <w:t>oard</w:t>
            </w:r>
            <w:r w:rsidR="00626D7B">
              <w:rPr>
                <w:bCs/>
                <w:color w:val="auto"/>
              </w:rPr>
              <w:t xml:space="preserve"> is asked to n</w:t>
            </w:r>
            <w:r>
              <w:rPr>
                <w:bCs/>
                <w:color w:val="auto"/>
              </w:rPr>
              <w:t>ote the contents of this report.</w:t>
            </w:r>
          </w:p>
          <w:p w:rsidR="002B3CC5" w:rsidRDefault="00626D7B" w:rsidP="006D6672">
            <w:pPr>
              <w:ind w:left="0" w:firstLine="0"/>
            </w:pPr>
          </w:p>
        </w:tc>
      </w:tr>
    </w:tbl>
    <w:p w:rsidR="002B3CC5" w:rsidRDefault="00626D7B" w:rsidP="002B3CC5">
      <w:pPr>
        <w:pStyle w:val="Header"/>
      </w:pPr>
    </w:p>
    <w:p w:rsidR="00A3358A" w:rsidRDefault="006D6672" w:rsidP="00A3358A">
      <w:pPr>
        <w:rPr>
          <w:b/>
        </w:rPr>
      </w:pPr>
      <w:r>
        <w:rPr>
          <w:b/>
        </w:rPr>
        <w:t xml:space="preserve">Background and Advice </w:t>
      </w:r>
    </w:p>
    <w:p w:rsidR="00626D7B" w:rsidRDefault="00626D7B" w:rsidP="00626D7B">
      <w:pPr>
        <w:spacing w:after="0" w:line="240" w:lineRule="auto"/>
        <w:ind w:left="0" w:firstLine="0"/>
        <w:jc w:val="both"/>
        <w:rPr>
          <w:bCs/>
          <w:color w:val="auto"/>
        </w:rPr>
      </w:pPr>
    </w:p>
    <w:p w:rsidR="00626D7B" w:rsidRDefault="00626D7B" w:rsidP="00626D7B">
      <w:pPr>
        <w:spacing w:after="0" w:line="240" w:lineRule="auto"/>
        <w:ind w:left="0" w:firstLine="0"/>
        <w:jc w:val="both"/>
        <w:rPr>
          <w:bCs/>
          <w:color w:val="auto"/>
        </w:rPr>
      </w:pPr>
      <w:r w:rsidRPr="00CC2DB8">
        <w:rPr>
          <w:bCs/>
          <w:color w:val="auto"/>
        </w:rPr>
        <w:t xml:space="preserve">The report has been prepared by SKV Communications, who are </w:t>
      </w:r>
      <w:r>
        <w:rPr>
          <w:bCs/>
          <w:color w:val="auto"/>
        </w:rPr>
        <w:t xml:space="preserve">the commissioned consultants currently </w:t>
      </w:r>
      <w:r w:rsidRPr="00CC2DB8">
        <w:rPr>
          <w:bCs/>
          <w:color w:val="auto"/>
        </w:rPr>
        <w:t>responsible for delivering the L</w:t>
      </w:r>
      <w:r>
        <w:rPr>
          <w:bCs/>
          <w:color w:val="auto"/>
        </w:rPr>
        <w:t xml:space="preserve">ancashire </w:t>
      </w:r>
      <w:r w:rsidRPr="00CC2DB8">
        <w:rPr>
          <w:bCs/>
          <w:color w:val="auto"/>
        </w:rPr>
        <w:t>E</w:t>
      </w:r>
      <w:r>
        <w:rPr>
          <w:bCs/>
          <w:color w:val="auto"/>
        </w:rPr>
        <w:t xml:space="preserve">nterprise </w:t>
      </w:r>
      <w:r w:rsidRPr="00CC2DB8">
        <w:rPr>
          <w:bCs/>
          <w:color w:val="auto"/>
        </w:rPr>
        <w:t>P</w:t>
      </w:r>
      <w:r>
        <w:rPr>
          <w:bCs/>
          <w:color w:val="auto"/>
        </w:rPr>
        <w:t>artnership</w:t>
      </w:r>
      <w:r w:rsidRPr="00CC2DB8">
        <w:rPr>
          <w:bCs/>
          <w:color w:val="auto"/>
        </w:rPr>
        <w:t>'s strategic communications activity</w:t>
      </w:r>
      <w:r>
        <w:rPr>
          <w:bCs/>
          <w:color w:val="auto"/>
        </w:rPr>
        <w:t xml:space="preserve"> which includes</w:t>
      </w:r>
      <w:r w:rsidRPr="00CC2DB8">
        <w:rPr>
          <w:bCs/>
          <w:color w:val="auto"/>
        </w:rPr>
        <w:t xml:space="preserve"> managing the communic</w:t>
      </w:r>
      <w:r>
        <w:rPr>
          <w:bCs/>
          <w:color w:val="auto"/>
        </w:rPr>
        <w:t>ation of the Growth Deal P</w:t>
      </w:r>
      <w:r w:rsidRPr="00CC2DB8">
        <w:rPr>
          <w:bCs/>
          <w:color w:val="auto"/>
        </w:rPr>
        <w:t xml:space="preserve">rogramme. </w:t>
      </w:r>
    </w:p>
    <w:p w:rsidR="00626D7B" w:rsidRDefault="00626D7B" w:rsidP="00626D7B">
      <w:pPr>
        <w:spacing w:after="0" w:line="240" w:lineRule="auto"/>
        <w:ind w:left="0" w:firstLine="0"/>
        <w:jc w:val="both"/>
        <w:rPr>
          <w:bCs/>
          <w:color w:val="auto"/>
        </w:rPr>
      </w:pPr>
    </w:p>
    <w:p w:rsidR="00626D7B" w:rsidRPr="00CC2DB8" w:rsidRDefault="00626D7B" w:rsidP="00626D7B">
      <w:pPr>
        <w:spacing w:after="0" w:line="240" w:lineRule="auto"/>
        <w:ind w:left="0" w:firstLine="0"/>
        <w:jc w:val="both"/>
        <w:rPr>
          <w:bCs/>
          <w:color w:val="auto"/>
        </w:rPr>
      </w:pPr>
      <w:r>
        <w:rPr>
          <w:bCs/>
          <w:color w:val="auto"/>
        </w:rPr>
        <w:t xml:space="preserve">As Growth Deal Management Board will be aware, a condition of receiving Growth Deal funding is for partners to adhere to the Growth Deal Communication Protocol which is place to ensure the key messages of Lancashire's £320m Growth Deal Programme are proactively and effectively communicated.  The report prepared by SKV identifies an inconsistency of approach amongst Growth Deal recipients in the application of the communication protocol.  As part of the periodic performance conversations with Government, there is a requirement for the Lancashire Enterprise Partnership to ensure it actively promotes its and investment activities, as well as the Government's Northern Powerhouse initiative.  As a result, the management of Growth Deal communications will be reviewed as part of a wider review of the Lancashire Enterprise Partnership's strategic communications activity over the coming months. </w:t>
      </w:r>
    </w:p>
    <w:p w:rsidR="00626D7B" w:rsidRPr="00CC2DB8" w:rsidRDefault="00626D7B" w:rsidP="00626D7B">
      <w:pPr>
        <w:spacing w:after="0" w:line="240" w:lineRule="auto"/>
        <w:ind w:left="0" w:firstLine="0"/>
        <w:jc w:val="both"/>
        <w:rPr>
          <w:bCs/>
          <w:color w:val="auto"/>
        </w:rPr>
      </w:pPr>
    </w:p>
    <w:p w:rsidR="00626D7B" w:rsidRPr="00CC2DB8" w:rsidRDefault="00626D7B" w:rsidP="00626D7B">
      <w:pPr>
        <w:spacing w:after="0" w:line="240" w:lineRule="auto"/>
        <w:ind w:left="0" w:firstLine="0"/>
        <w:jc w:val="both"/>
        <w:rPr>
          <w:rFonts w:ascii="ArialMT" w:eastAsiaTheme="minorHAnsi" w:hAnsi="ArialMT" w:cs="ArialMT"/>
          <w:color w:val="auto"/>
          <w:lang w:eastAsia="en-US"/>
        </w:rPr>
      </w:pPr>
      <w:r w:rsidRPr="00CC2DB8">
        <w:rPr>
          <w:rFonts w:ascii="ArialMT" w:eastAsiaTheme="minorHAnsi" w:hAnsi="ArialMT" w:cs="ArialMT"/>
          <w:color w:val="auto"/>
          <w:lang w:eastAsia="en-US"/>
        </w:rPr>
        <w:t>Appendix A - Communications &amp; P</w:t>
      </w:r>
      <w:r>
        <w:rPr>
          <w:rFonts w:ascii="ArialMT" w:eastAsiaTheme="minorHAnsi" w:hAnsi="ArialMT" w:cs="ArialMT"/>
          <w:color w:val="auto"/>
          <w:lang w:eastAsia="en-US"/>
        </w:rPr>
        <w:t xml:space="preserve">ublic </w:t>
      </w:r>
      <w:r w:rsidRPr="00CC2DB8">
        <w:rPr>
          <w:rFonts w:ascii="ArialMT" w:eastAsiaTheme="minorHAnsi" w:hAnsi="ArialMT" w:cs="ArialMT"/>
          <w:color w:val="auto"/>
          <w:lang w:eastAsia="en-US"/>
        </w:rPr>
        <w:t>R</w:t>
      </w:r>
      <w:r>
        <w:rPr>
          <w:rFonts w:ascii="ArialMT" w:eastAsiaTheme="minorHAnsi" w:hAnsi="ArialMT" w:cs="ArialMT"/>
          <w:color w:val="auto"/>
          <w:lang w:eastAsia="en-US"/>
        </w:rPr>
        <w:t>elations</w:t>
      </w:r>
      <w:r w:rsidRPr="00CC2DB8">
        <w:rPr>
          <w:rFonts w:ascii="ArialMT" w:eastAsiaTheme="minorHAnsi" w:hAnsi="ArialMT" w:cs="ArialMT"/>
          <w:color w:val="auto"/>
          <w:lang w:eastAsia="en-US"/>
        </w:rPr>
        <w:t xml:space="preserve"> Activity</w:t>
      </w:r>
    </w:p>
    <w:p w:rsidR="00626D7B" w:rsidRDefault="00626D7B" w:rsidP="00626D7B">
      <w:pPr>
        <w:autoSpaceDE w:val="0"/>
        <w:autoSpaceDN w:val="0"/>
        <w:adjustRightInd w:val="0"/>
        <w:spacing w:after="0" w:line="240" w:lineRule="auto"/>
        <w:ind w:left="0" w:firstLine="0"/>
        <w:rPr>
          <w:rFonts w:ascii="ArialMT" w:eastAsiaTheme="minorHAnsi" w:hAnsi="ArialMT" w:cs="ArialMT"/>
          <w:color w:val="auto"/>
          <w:lang w:eastAsia="en-US"/>
        </w:rPr>
      </w:pPr>
      <w:r w:rsidRPr="00CC2DB8">
        <w:rPr>
          <w:rFonts w:ascii="ArialMT" w:eastAsiaTheme="minorHAnsi" w:hAnsi="ArialMT" w:cs="ArialMT"/>
          <w:color w:val="auto"/>
          <w:lang w:eastAsia="en-US"/>
        </w:rPr>
        <w:t>Appendix B - Media Coverage</w:t>
      </w:r>
    </w:p>
    <w:p w:rsidR="00386D34" w:rsidRDefault="00626D7B" w:rsidP="006D6672">
      <w:pPr>
        <w:ind w:left="0" w:firstLine="0"/>
      </w:pPr>
    </w:p>
    <w:p w:rsidR="00B959D4" w:rsidRPr="00ED571D" w:rsidRDefault="006D6672" w:rsidP="00B959D4">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rsidR="00B959D4" w:rsidRPr="00ED571D" w:rsidRDefault="00626D7B" w:rsidP="00B959D4"/>
    <w:tbl>
      <w:tblPr>
        <w:tblW w:w="0" w:type="auto"/>
        <w:tblLayout w:type="fixed"/>
        <w:tblLook w:val="0000" w:firstRow="0" w:lastRow="0" w:firstColumn="0" w:lastColumn="0" w:noHBand="0" w:noVBand="0"/>
      </w:tblPr>
      <w:tblGrid>
        <w:gridCol w:w="3510"/>
        <w:gridCol w:w="2492"/>
        <w:gridCol w:w="3178"/>
      </w:tblGrid>
      <w:tr w:rsidR="00714B25" w:rsidTr="00331DDF">
        <w:tc>
          <w:tcPr>
            <w:tcW w:w="3510" w:type="dxa"/>
          </w:tcPr>
          <w:p w:rsidR="00B959D4" w:rsidRPr="00ED571D" w:rsidRDefault="006D6672"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B959D4" w:rsidRPr="00ED571D" w:rsidRDefault="006D6672"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B959D4" w:rsidRPr="00ED571D" w:rsidRDefault="006D6672"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714B25" w:rsidTr="00331DDF">
        <w:tc>
          <w:tcPr>
            <w:tcW w:w="3510" w:type="dxa"/>
          </w:tcPr>
          <w:p w:rsidR="00B959D4" w:rsidRPr="00ED571D" w:rsidRDefault="00626D7B" w:rsidP="00331DDF">
            <w:pPr>
              <w:rPr>
                <w:color w:val="auto"/>
              </w:rPr>
            </w:pPr>
          </w:p>
          <w:p w:rsidR="00B959D4" w:rsidRPr="00ED571D" w:rsidRDefault="00626D7B" w:rsidP="00626D7B">
            <w:pPr>
              <w:rPr>
                <w:color w:val="auto"/>
              </w:rPr>
            </w:pPr>
            <w:r>
              <w:rPr>
                <w:color w:val="auto"/>
              </w:rPr>
              <w:t>none</w:t>
            </w:r>
          </w:p>
        </w:tc>
        <w:tc>
          <w:tcPr>
            <w:tcW w:w="2492" w:type="dxa"/>
          </w:tcPr>
          <w:p w:rsidR="00B959D4" w:rsidRPr="00ED571D" w:rsidRDefault="00626D7B" w:rsidP="00331DDF">
            <w:pPr>
              <w:rPr>
                <w:color w:val="auto"/>
              </w:rPr>
            </w:pPr>
          </w:p>
        </w:tc>
        <w:tc>
          <w:tcPr>
            <w:tcW w:w="3178" w:type="dxa"/>
          </w:tcPr>
          <w:p w:rsidR="00B959D4" w:rsidRPr="00ED571D" w:rsidRDefault="00626D7B" w:rsidP="00331DDF">
            <w:pPr>
              <w:rPr>
                <w:color w:val="auto"/>
              </w:rPr>
            </w:pPr>
          </w:p>
        </w:tc>
      </w:tr>
      <w:tr w:rsidR="00714B25" w:rsidTr="00331DDF">
        <w:trPr>
          <w:cantSplit/>
        </w:trPr>
        <w:tc>
          <w:tcPr>
            <w:tcW w:w="9180" w:type="dxa"/>
            <w:gridSpan w:val="3"/>
          </w:tcPr>
          <w:p w:rsidR="00B959D4" w:rsidRPr="00ED571D" w:rsidRDefault="00626D7B" w:rsidP="00331DDF"/>
          <w:p w:rsidR="00B959D4" w:rsidRPr="00ED571D" w:rsidRDefault="006D6672" w:rsidP="00331DDF">
            <w:r w:rsidRPr="00ED571D">
              <w:t xml:space="preserve">Reason for inclusion in Part II, if appropriate </w:t>
            </w:r>
          </w:p>
          <w:p w:rsidR="00B959D4" w:rsidRPr="00ED571D" w:rsidRDefault="00626D7B" w:rsidP="00331DDF"/>
          <w:p w:rsidR="00B959D4" w:rsidRPr="00ED571D" w:rsidRDefault="00626D7B" w:rsidP="00331DDF">
            <w:pPr>
              <w:rPr>
                <w:color w:val="auto"/>
              </w:rPr>
            </w:pPr>
            <w:r>
              <w:rPr>
                <w:color w:val="auto"/>
              </w:rPr>
              <w:t>none</w:t>
            </w:r>
          </w:p>
          <w:p w:rsidR="00B959D4" w:rsidRPr="00ED571D" w:rsidRDefault="00626D7B" w:rsidP="00331DDF">
            <w:pPr>
              <w:jc w:val="both"/>
            </w:pPr>
          </w:p>
        </w:tc>
      </w:tr>
    </w:tbl>
    <w:p w:rsidR="00B959D4" w:rsidRDefault="00626D7B"/>
    <w:sectPr w:rsidR="00B959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E5" w:rsidRDefault="006D6672">
      <w:pPr>
        <w:spacing w:after="0" w:line="240" w:lineRule="auto"/>
      </w:pPr>
      <w:r>
        <w:separator/>
      </w:r>
    </w:p>
  </w:endnote>
  <w:endnote w:type="continuationSeparator" w:id="0">
    <w:p w:rsidR="005674E5" w:rsidRDefault="006D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E5" w:rsidRDefault="006D6672">
      <w:pPr>
        <w:spacing w:after="0" w:line="240" w:lineRule="auto"/>
      </w:pPr>
      <w:r>
        <w:separator/>
      </w:r>
    </w:p>
  </w:footnote>
  <w:footnote w:type="continuationSeparator" w:id="0">
    <w:p w:rsidR="005674E5" w:rsidRDefault="006D6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6D6672">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868039"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E5A444A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5F46571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72CA4B6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B4A46DAC">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BD8E8398">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C0E0D04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5988457A">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B928D62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B88566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89361ED"/>
    <w:multiLevelType w:val="hybridMultilevel"/>
    <w:tmpl w:val="92288FC2"/>
    <w:lvl w:ilvl="0" w:tplc="E76C9976">
      <w:start w:val="1"/>
      <w:numFmt w:val="decimal"/>
      <w:lvlText w:val="%1."/>
      <w:lvlJc w:val="left"/>
      <w:pPr>
        <w:ind w:left="720" w:hanging="360"/>
      </w:pPr>
      <w:rPr>
        <w:b w:val="0"/>
      </w:rPr>
    </w:lvl>
    <w:lvl w:ilvl="1" w:tplc="F0B86C0A">
      <w:start w:val="1"/>
      <w:numFmt w:val="lowerLetter"/>
      <w:lvlText w:val="%2."/>
      <w:lvlJc w:val="left"/>
      <w:pPr>
        <w:ind w:left="1440" w:hanging="360"/>
      </w:pPr>
    </w:lvl>
    <w:lvl w:ilvl="2" w:tplc="3664E9D0" w:tentative="1">
      <w:start w:val="1"/>
      <w:numFmt w:val="lowerRoman"/>
      <w:lvlText w:val="%3."/>
      <w:lvlJc w:val="right"/>
      <w:pPr>
        <w:ind w:left="2160" w:hanging="180"/>
      </w:pPr>
    </w:lvl>
    <w:lvl w:ilvl="3" w:tplc="7958C668" w:tentative="1">
      <w:start w:val="1"/>
      <w:numFmt w:val="decimal"/>
      <w:lvlText w:val="%4."/>
      <w:lvlJc w:val="left"/>
      <w:pPr>
        <w:ind w:left="2880" w:hanging="360"/>
      </w:pPr>
    </w:lvl>
    <w:lvl w:ilvl="4" w:tplc="31D03F2E" w:tentative="1">
      <w:start w:val="1"/>
      <w:numFmt w:val="lowerLetter"/>
      <w:lvlText w:val="%5."/>
      <w:lvlJc w:val="left"/>
      <w:pPr>
        <w:ind w:left="3600" w:hanging="360"/>
      </w:pPr>
    </w:lvl>
    <w:lvl w:ilvl="5" w:tplc="3FF4EC8C" w:tentative="1">
      <w:start w:val="1"/>
      <w:numFmt w:val="lowerRoman"/>
      <w:lvlText w:val="%6."/>
      <w:lvlJc w:val="right"/>
      <w:pPr>
        <w:ind w:left="4320" w:hanging="180"/>
      </w:pPr>
    </w:lvl>
    <w:lvl w:ilvl="6" w:tplc="36826064" w:tentative="1">
      <w:start w:val="1"/>
      <w:numFmt w:val="decimal"/>
      <w:lvlText w:val="%7."/>
      <w:lvlJc w:val="left"/>
      <w:pPr>
        <w:ind w:left="5040" w:hanging="360"/>
      </w:pPr>
    </w:lvl>
    <w:lvl w:ilvl="7" w:tplc="3F3C6600" w:tentative="1">
      <w:start w:val="1"/>
      <w:numFmt w:val="lowerLetter"/>
      <w:lvlText w:val="%8."/>
      <w:lvlJc w:val="left"/>
      <w:pPr>
        <w:ind w:left="5760" w:hanging="360"/>
      </w:pPr>
    </w:lvl>
    <w:lvl w:ilvl="8" w:tplc="873EE3D4" w:tentative="1">
      <w:start w:val="1"/>
      <w:numFmt w:val="lowerRoman"/>
      <w:lvlText w:val="%9."/>
      <w:lvlJc w:val="right"/>
      <w:pPr>
        <w:ind w:left="6480" w:hanging="180"/>
      </w:p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25"/>
    <w:rsid w:val="005674E5"/>
    <w:rsid w:val="00626D7B"/>
    <w:rsid w:val="006D6672"/>
    <w:rsid w:val="00714B25"/>
    <w:rsid w:val="00994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5EE7"/>
  <w15:docId w15:val="{B33B58A4-3212-42D1-BFC3-87F46876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EB575-F5AC-425F-90C7-B80A4703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9</cp:revision>
  <dcterms:created xsi:type="dcterms:W3CDTF">2015-06-25T10:41:00Z</dcterms:created>
  <dcterms:modified xsi:type="dcterms:W3CDTF">2019-11-06T15:04:00Z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Growth Deal Management Board</vt:lpwstr>
  </property>
  <property fmtid="{D5CDD505-2E9C-101B-9397-08002B2CF9AE}" pid="3" name="IssueTitle">
    <vt:lpwstr>Growth Deal Communications Update</vt:lpwstr>
  </property>
  <property fmtid="{D5CDD505-2E9C-101B-9397-08002B2CF9AE}" pid="4" name="LeadOfficer">
    <vt:lpwstr>Martine Winder</vt:lpwstr>
  </property>
  <property fmtid="{D5CDD505-2E9C-101B-9397-08002B2CF9AE}" pid="5" name="LeadOfficerEmail">
    <vt:lpwstr>martine.winder@lancashire.gov.uk</vt:lpwstr>
  </property>
  <property fmtid="{D5CDD505-2E9C-101B-9397-08002B2CF9AE}" pid="6" name="LeadOfficerTel">
    <vt:lpwstr>Tel: 01772 538791</vt:lpwstr>
  </property>
  <property fmtid="{D5CDD505-2E9C-101B-9397-08002B2CF9AE}" pid="7" name="MeetingDate">
    <vt:lpwstr>Wednesday, 13 November 2019</vt:lpwstr>
  </property>
</Properties>
</file>